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参与“双百扶贫”和“乡村振兴”行动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特色项目申报表</w:t>
      </w:r>
    </w:p>
    <w:bookmarkEnd w:id="0"/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申报</w:t>
      </w:r>
      <w:r>
        <w:rPr>
          <w:rFonts w:ascii="仿宋_GB2312" w:eastAsia="仿宋_GB2312"/>
          <w:sz w:val="24"/>
          <w:szCs w:val="24"/>
        </w:rPr>
        <w:t>单位</w:t>
      </w:r>
      <w:r>
        <w:rPr>
          <w:rFonts w:hint="eastAsia" w:ascii="仿宋_GB2312" w:eastAsia="仿宋_GB2312"/>
          <w:sz w:val="24"/>
          <w:szCs w:val="24"/>
        </w:rPr>
        <w:t>：    （盖章）</w:t>
      </w:r>
    </w:p>
    <w:tbl>
      <w:tblPr>
        <w:tblStyle w:val="3"/>
        <w:tblpPr w:leftFromText="180" w:rightFromText="180" w:vertAnchor="text" w:horzAnchor="page" w:tblpX="1342" w:tblpY="327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455"/>
        <w:gridCol w:w="1451"/>
        <w:gridCol w:w="3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  <w:r>
              <w:rPr>
                <w:rFonts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    址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4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</w:t>
            </w:r>
            <w:r>
              <w:rPr>
                <w:rFonts w:ascii="仿宋_GB2312" w:eastAsia="仿宋_GB2312"/>
                <w:sz w:val="24"/>
                <w:szCs w:val="24"/>
              </w:rPr>
              <w:t>代表人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30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  <w:r>
              <w:rPr>
                <w:rFonts w:ascii="仿宋_GB2312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46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30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</w:t>
            </w:r>
            <w:r>
              <w:rPr>
                <w:rFonts w:ascii="仿宋_GB2312" w:eastAsia="仿宋_GB2312"/>
                <w:sz w:val="24"/>
                <w:szCs w:val="24"/>
              </w:rPr>
              <w:t>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>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24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拟支持对象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临邑市临南镇王常村（  ）泰安肥城市（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exact"/>
        </w:trPr>
        <w:tc>
          <w:tcPr>
            <w:tcW w:w="24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特色项目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行动方式</w:t>
            </w:r>
          </w:p>
        </w:tc>
        <w:tc>
          <w:tcPr>
            <w:tcW w:w="6931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项目特点：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工作方式：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6B6A"/>
    <w:rsid w:val="724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2019-08-23T08:23:00Z</dcterms:created>
  <dc:creator>向日葵是我</dc:creator>
  <cp:lastModifiedBy>向日葵是我</cp:lastModifiedBy>
  <dcterms:modified xsi:type="dcterms:W3CDTF">2019-08-23T08:25:06Z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