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708" w:rightChars="337"/>
        <w:jc w:val="left"/>
        <w:rPr>
          <w:rFonts w:hint="eastAsia" w:ascii="宋体" w:hAnsi="宋体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附件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708" w:rightChars="337"/>
        <w:jc w:val="center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olor w:val="000000"/>
          <w:sz w:val="28"/>
          <w:szCs w:val="28"/>
          <w:lang w:val="en-US" w:eastAsia="zh-CN"/>
        </w:rPr>
        <w:t>课程内容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1、《新旧定额对比解析》</w:t>
      </w:r>
    </w:p>
    <w:p>
      <w:pPr>
        <w:spacing w:line="360" w:lineRule="auto"/>
        <w:jc w:val="left"/>
        <w:rPr>
          <w:rFonts w:ascii="宋体" w:hAnsi="宋体"/>
          <w:b/>
          <w:color w:val="000000"/>
          <w:sz w:val="24"/>
          <w:szCs w:val="21"/>
        </w:rPr>
      </w:pPr>
      <w:r>
        <w:rPr>
          <w:rFonts w:ascii="宋体" w:hAnsi="宋体"/>
          <w:b/>
          <w:color w:val="000000"/>
          <w:sz w:val="24"/>
          <w:szCs w:val="21"/>
        </w:rPr>
        <w:drawing>
          <wp:inline distT="0" distB="0" distL="0" distR="0">
            <wp:extent cx="5012055" cy="2924175"/>
            <wp:effectExtent l="0" t="0" r="17145" b="9525"/>
            <wp:docPr id="5" name="图片 5" descr="C:\Users\liguiwen\AppData\Local\Temp\WeChat Files\9b3c8c7b36521c233cd1f006f1080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liguiwen\AppData\Local\Temp\WeChat Files\9b3c8c7b36521c233cd1f006f1080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6440" cy="29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/>
          <w:b/>
          <w:color w:val="000000"/>
          <w:sz w:val="24"/>
          <w:szCs w:val="21"/>
        </w:rPr>
      </w:pPr>
      <w:r>
        <w:drawing>
          <wp:inline distT="0" distB="0" distL="0" distR="0">
            <wp:extent cx="5012055" cy="2907030"/>
            <wp:effectExtent l="0" t="0" r="17145" b="7620"/>
            <wp:docPr id="4" name="图片 4" descr="C:\Users\liguiwen\AppData\Local\Temp\WeChat Files\aea3b536dd1147181878f12dd5f28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liguiwen\AppData\Local\Temp\WeChat Files\aea3b536dd1147181878f12dd5f284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2055" cy="29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drawing>
          <wp:inline distT="0" distB="0" distL="0" distR="0">
            <wp:extent cx="5012055" cy="3813175"/>
            <wp:effectExtent l="0" t="0" r="17145" b="15875"/>
            <wp:docPr id="1" name="图片 1" descr="C:\Users\liguiwen\AppData\Local\Temp\WeChat Files\d4efdca5730b022767fe5b9d7ebf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iguiwen\AppData\Local\Temp\WeChat Files\d4efdca5730b022767fe5b9d7ebf35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2055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2、《清单编制及组价的应用解析》</w:t>
      </w:r>
    </w:p>
    <w:tbl>
      <w:tblPr>
        <w:tblStyle w:val="2"/>
        <w:tblW w:w="0" w:type="auto"/>
        <w:tblInd w:w="1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6662"/>
      </w:tblGrid>
      <w:tr>
        <w:trPr>
          <w:trHeight w:val="477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课程内容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1、了解不同清单模式（地产、港式）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2、掌握一套清单编制的思路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1、掌握实体、措施及其他项目的清单编制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1、掌握各项费用项目的设置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2、掌握材料暂估价、专业工程暂估价、计日工的列项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3、清单组价：各章节组价的注意事项一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66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1、清单组价：各章节组价的注意事项二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2、掌握定额的组成分析及定额含量的测算与调整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3、掌握清单综合单价的计算过程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4、掌握人材机价格获取的方式及调整的方法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5、措施项目及其他项目组价注意事项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1、了解最近几年政策性的变化和费率的调整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2、不同情况如何进行价款调整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3、总造价的整体调整方式方法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4、学会需要表格的基本设计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1、通过类似工程数据，学会指标数据分析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2、学会如何规范有效的办理变更签证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3、案例解析审核签证过程中的应对策略</w:t>
            </w:r>
          </w:p>
        </w:tc>
      </w:tr>
    </w:tbl>
    <w:p>
      <w:pPr>
        <w:spacing w:line="360" w:lineRule="auto"/>
        <w:jc w:val="left"/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3、《部门经理进阶课程--指标整理与成本测算》</w:t>
      </w:r>
    </w:p>
    <w:tbl>
      <w:tblPr>
        <w:tblStyle w:val="2"/>
        <w:tblW w:w="791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600"/>
        <w:gridCol w:w="56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ascii="微软雅黑" w:hAnsi="微软雅黑" w:eastAsia="微软雅黑" w:cs="宋体"/>
                <w:b w:val="0"/>
                <w:bCs w:val="0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ascii="微软雅黑" w:hAnsi="微软雅黑" w:eastAsia="微软雅黑" w:cs="宋体"/>
                <w:b w:val="0"/>
                <w:bCs w:val="0"/>
                <w:color w:val="000000"/>
                <w:kern w:val="0"/>
                <w:sz w:val="22"/>
              </w:rPr>
              <w:t>课程阶段</w:t>
            </w:r>
          </w:p>
        </w:tc>
        <w:tc>
          <w:tcPr>
            <w:tcW w:w="5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ascii="微软雅黑" w:hAnsi="微软雅黑" w:eastAsia="微软雅黑" w:cs="宋体"/>
                <w:b w:val="0"/>
                <w:bCs w:val="0"/>
                <w:color w:val="000000"/>
                <w:kern w:val="0"/>
                <w:sz w:val="22"/>
              </w:rPr>
              <w:t>具体课程内容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技术指标数据整理与指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标分析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经济指标数据整理与指标分析</w:t>
            </w:r>
          </w:p>
        </w:tc>
        <w:tc>
          <w:tcPr>
            <w:tcW w:w="5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通过3个指标测算表，分析9大类型的技术指标数据、经济指标数据及关联关系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《工程量明细测算表》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《审核预算造价经指标汇总表》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《建安工程造价指标汇总表》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内容包括：主体结构、二次结构、地面、内墙面(含保温)、防水、屋面、外饰面(含保温)、门窗、脚手架等。 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1、经济指标的概况与说明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2、重要指标影响因素分析：人工、材料、工艺、措施方案、取费、结构形式等 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3、指标收集的计算基础(清单、定额、企业定额)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4、指标收集的重点范围及内容解析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5、通过指标的关联关系反查工程量及指标的合理性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指标影响因素之建筑面积解读</w:t>
            </w:r>
          </w:p>
        </w:tc>
        <w:tc>
          <w:tcPr>
            <w:tcW w:w="5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1、重点难点部位建筑面积的分析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2、建筑面积在指标中的作用及对指标数据的影响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人工及成活价的指标因素整理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1、各技工工种的价格的收集及整理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2、包清工价格的收集及整理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3、机械及钢管租赁费用的收集及整理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4、分包工程常用成活价的收集及整理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5、施工企业措施费用包干价的常用价格的收集及整理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技术指标的成本核算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1、技术指标在成本核算中的应用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2、材料价格在成本核算中的应用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3、清工价格在成本核算中的应用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4、措施费用包干价在成本核算中的应用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5、成本的组合与验算</w:t>
            </w:r>
          </w:p>
        </w:tc>
      </w:tr>
    </w:tbl>
    <w:p>
      <w:pPr>
        <w:spacing w:line="500" w:lineRule="exact"/>
        <w:contextualSpacing/>
        <w:jc w:val="left"/>
        <w:rPr>
          <w:rFonts w:ascii="宋体" w:hAnsi="宋体"/>
          <w:color w:val="000000"/>
          <w:szCs w:val="21"/>
        </w:rPr>
      </w:pPr>
    </w:p>
    <w:p>
      <w:pPr>
        <w:spacing w:line="500" w:lineRule="exact"/>
        <w:contextualSpacing/>
        <w:jc w:val="left"/>
        <w:rPr>
          <w:rFonts w:hint="eastAsia" w:ascii="微软雅黑" w:hAnsi="微软雅黑" w:eastAsia="微软雅黑" w:cs="微软雅黑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4、《模拟清单的重计量解析及注意事项（安装专业）》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1"/>
          <w:szCs w:val="21"/>
        </w:rPr>
      </w:pPr>
    </w:p>
    <w:tbl>
      <w:tblPr>
        <w:tblStyle w:val="2"/>
        <w:tblpPr w:leftFromText="180" w:rightFromText="180" w:vertAnchor="text" w:horzAnchor="margin" w:tblpY="-42"/>
        <w:tblW w:w="7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623"/>
        <w:gridCol w:w="5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课程阶段</w:t>
            </w:r>
          </w:p>
        </w:tc>
        <w:tc>
          <w:tcPr>
            <w:tcW w:w="5426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课程内容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界面划分</w:t>
            </w:r>
          </w:p>
        </w:tc>
        <w:tc>
          <w:tcPr>
            <w:tcW w:w="5426" w:type="dx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1、模拟清单应用解读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2、结合现场工艺准确分析模拟清单界面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3、综合模拟清单常见问题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模拟清单编制</w:t>
            </w:r>
          </w:p>
        </w:tc>
        <w:tc>
          <w:tcPr>
            <w:tcW w:w="5426" w:type="dx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1、了解模拟清单的流程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2、模拟清单编制注意事项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3、结合指标了解清单编制合理性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模拟清单结算争议点处理</w:t>
            </w:r>
          </w:p>
        </w:tc>
        <w:tc>
          <w:tcPr>
            <w:tcW w:w="5426" w:type="dx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1、模拟清单结算阶段争议点解读</w:t>
            </w:r>
          </w:p>
        </w:tc>
      </w:tr>
    </w:tbl>
    <w:p>
      <w:pPr>
        <w:spacing w:line="500" w:lineRule="exact"/>
        <w:contextualSpacing/>
        <w:jc w:val="left"/>
        <w:rPr>
          <w:rFonts w:ascii="宋体" w:hAnsi="宋体"/>
          <w:color w:val="00000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04b_21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75A59"/>
    <w:rsid w:val="11C7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2020-05-15T07:10:00Z</dcterms:created>
  <dc:creator>情到深处人孤独</dc:creator>
  <cp:lastModifiedBy>情到深处人孤独</cp:lastModifiedBy>
  <dcterms:modified xsi:type="dcterms:W3CDTF">2020-05-15T07:18:42Z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